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A" w:rsidRPr="00B23F4E" w:rsidRDefault="002C3BD3" w:rsidP="00D973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74644C">
        <w:rPr>
          <w:b/>
          <w:sz w:val="24"/>
          <w:szCs w:val="24"/>
        </w:rPr>
        <w:t>.03</w:t>
      </w:r>
      <w:r w:rsidR="0047137C">
        <w:rPr>
          <w:b/>
          <w:sz w:val="24"/>
          <w:szCs w:val="24"/>
        </w:rPr>
        <w:t>.2021</w:t>
      </w:r>
      <w:r w:rsidR="0047137C" w:rsidRPr="000F3FCA">
        <w:rPr>
          <w:b/>
          <w:sz w:val="24"/>
          <w:szCs w:val="24"/>
        </w:rPr>
        <w:t xml:space="preserve"> r.</w:t>
      </w:r>
    </w:p>
    <w:p w:rsidR="0047137C" w:rsidRPr="00B23F4E" w:rsidRDefault="0047137C" w:rsidP="00D973D2">
      <w:pPr>
        <w:spacing w:after="0" w:line="240" w:lineRule="auto"/>
        <w:rPr>
          <w:b/>
          <w:sz w:val="12"/>
          <w:szCs w:val="12"/>
        </w:rPr>
      </w:pPr>
    </w:p>
    <w:p w:rsidR="0047137C" w:rsidRPr="00B23F4E" w:rsidRDefault="0047137C" w:rsidP="00D973D2">
      <w:pPr>
        <w:autoSpaceDE w:val="0"/>
        <w:autoSpaceDN w:val="0"/>
        <w:adjustRightInd w:val="0"/>
        <w:spacing w:after="0" w:line="240" w:lineRule="auto"/>
        <w:jc w:val="both"/>
        <w:rPr>
          <w:rFonts w:ascii="ScalaSansPro-Bold" w:eastAsia="ScalaSansPro-Bold" w:cs="ScalaSansPro-Bold"/>
          <w:b/>
          <w:bCs/>
          <w:color w:val="000000"/>
          <w:sz w:val="19"/>
          <w:szCs w:val="19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II</w:t>
      </w:r>
      <w:r>
        <w:rPr>
          <w:b/>
          <w:sz w:val="24"/>
          <w:szCs w:val="24"/>
        </w:rPr>
        <w:t xml:space="preserve"> tl</w:t>
      </w:r>
      <w:r w:rsidR="002C3BD3">
        <w:rPr>
          <w:b/>
          <w:sz w:val="24"/>
          <w:szCs w:val="24"/>
        </w:rPr>
        <w:t>p</w:t>
      </w:r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przyprodukcyjne,</w:t>
      </w:r>
      <w:r>
        <w:rPr>
          <w:b/>
          <w:sz w:val="24"/>
          <w:szCs w:val="24"/>
        </w:rPr>
        <w:t xml:space="preserve">        </w:t>
      </w:r>
      <w:r w:rsidRPr="000F3FCA">
        <w:rPr>
          <w:sz w:val="24"/>
          <w:szCs w:val="24"/>
        </w:rPr>
        <w:t xml:space="preserve">temat </w:t>
      </w:r>
      <w:r>
        <w:rPr>
          <w:b/>
          <w:sz w:val="24"/>
          <w:szCs w:val="24"/>
        </w:rPr>
        <w:t xml:space="preserve">– </w:t>
      </w:r>
      <w:r w:rsidR="00B16FDF" w:rsidRPr="00B16FDF">
        <w:rPr>
          <w:rFonts w:cstheme="minorHAnsi"/>
          <w:b/>
          <w:i/>
          <w:sz w:val="24"/>
          <w:szCs w:val="24"/>
        </w:rPr>
        <w:t>Normy i procedury oceny zgodności podczas realizacji zadań zawodowych</w:t>
      </w:r>
    </w:p>
    <w:p w:rsidR="00F661DA" w:rsidRPr="00B23F4E" w:rsidRDefault="00F661DA" w:rsidP="00D973D2">
      <w:pPr>
        <w:spacing w:after="0" w:line="240" w:lineRule="auto"/>
        <w:jc w:val="both"/>
        <w:rPr>
          <w:b/>
          <w:sz w:val="12"/>
          <w:szCs w:val="12"/>
        </w:rPr>
      </w:pPr>
    </w:p>
    <w:p w:rsidR="0047137C" w:rsidRDefault="0047137C" w:rsidP="00D973D2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B23F4E" w:rsidRPr="00B23F4E" w:rsidRDefault="00B23F4E" w:rsidP="00D973D2">
      <w:pPr>
        <w:spacing w:after="0" w:line="240" w:lineRule="auto"/>
        <w:rPr>
          <w:b/>
          <w:i/>
          <w:sz w:val="12"/>
          <w:szCs w:val="12"/>
        </w:rPr>
      </w:pPr>
    </w:p>
    <w:p w:rsidR="00754DC6" w:rsidRPr="00B23F4E" w:rsidRDefault="00BD67F8" w:rsidP="00D973D2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D61025">
        <w:rPr>
          <w:b/>
          <w:i/>
          <w:sz w:val="24"/>
          <w:szCs w:val="24"/>
        </w:rPr>
        <w:t xml:space="preserve"> Jednocześnie zapowiadam </w:t>
      </w:r>
      <w:r w:rsidR="00D61025" w:rsidRPr="00D972B5">
        <w:rPr>
          <w:b/>
          <w:i/>
          <w:color w:val="FF0000"/>
          <w:sz w:val="24"/>
          <w:szCs w:val="24"/>
        </w:rPr>
        <w:t>sprawdzian z MP</w:t>
      </w:r>
      <w:r w:rsidR="00D61025">
        <w:rPr>
          <w:b/>
          <w:i/>
          <w:sz w:val="24"/>
          <w:szCs w:val="24"/>
        </w:rPr>
        <w:t xml:space="preserve"> </w:t>
      </w:r>
      <w:r w:rsidR="000B36E2">
        <w:rPr>
          <w:b/>
          <w:i/>
          <w:sz w:val="24"/>
          <w:szCs w:val="24"/>
        </w:rPr>
        <w:t xml:space="preserve">                        </w:t>
      </w:r>
      <w:r w:rsidR="007448A6">
        <w:rPr>
          <w:b/>
          <w:i/>
          <w:sz w:val="24"/>
          <w:szCs w:val="24"/>
        </w:rPr>
        <w:t>w dniu</w:t>
      </w:r>
      <w:r w:rsidR="00D61025">
        <w:rPr>
          <w:b/>
          <w:i/>
          <w:sz w:val="24"/>
          <w:szCs w:val="24"/>
        </w:rPr>
        <w:t xml:space="preserve"> </w:t>
      </w:r>
      <w:r w:rsidR="002C3BD3">
        <w:rPr>
          <w:b/>
          <w:i/>
          <w:color w:val="FF0000"/>
          <w:sz w:val="24"/>
          <w:szCs w:val="24"/>
        </w:rPr>
        <w:t>31</w:t>
      </w:r>
      <w:r w:rsidR="00D972B5">
        <w:rPr>
          <w:b/>
          <w:i/>
          <w:color w:val="FF0000"/>
          <w:sz w:val="24"/>
          <w:szCs w:val="24"/>
        </w:rPr>
        <w:t>.03.2021</w:t>
      </w:r>
      <w:r w:rsidR="00D61025" w:rsidRPr="00D972B5">
        <w:rPr>
          <w:b/>
          <w:i/>
          <w:color w:val="FF0000"/>
          <w:sz w:val="24"/>
          <w:szCs w:val="24"/>
        </w:rPr>
        <w:t xml:space="preserve"> r.</w:t>
      </w:r>
      <w:r w:rsidR="00D61025">
        <w:rPr>
          <w:b/>
          <w:i/>
          <w:sz w:val="24"/>
          <w:szCs w:val="24"/>
        </w:rPr>
        <w:t xml:space="preserve"> Zakres materiału na sprawdzian: od tematu –</w:t>
      </w:r>
      <w:r w:rsidR="00DC21D9" w:rsidRPr="00DC21D9">
        <w:rPr>
          <w:rFonts w:eastAsia="ScalaSansPro-Bold" w:cstheme="minorHAnsi"/>
          <w:b/>
          <w:bCs/>
          <w:i/>
          <w:sz w:val="24"/>
          <w:szCs w:val="24"/>
        </w:rPr>
        <w:t xml:space="preserve"> </w:t>
      </w:r>
      <w:r w:rsidR="000B36E2">
        <w:rPr>
          <w:rFonts w:eastAsia="ScalaSansPro-Bold" w:cstheme="minorHAnsi"/>
          <w:b/>
          <w:bCs/>
          <w:i/>
          <w:sz w:val="24"/>
          <w:szCs w:val="24"/>
        </w:rPr>
        <w:t>d</w:t>
      </w:r>
      <w:r w:rsidR="00DC21D9">
        <w:rPr>
          <w:rFonts w:eastAsia="ScalaSansPro-Bold" w:cstheme="minorHAnsi"/>
          <w:b/>
          <w:bCs/>
          <w:i/>
          <w:sz w:val="24"/>
          <w:szCs w:val="24"/>
        </w:rPr>
        <w:t>efinicja, ele</w:t>
      </w:r>
      <w:r w:rsidR="00D972B5">
        <w:rPr>
          <w:rFonts w:eastAsia="ScalaSansPro-Bold" w:cstheme="minorHAnsi"/>
          <w:b/>
          <w:bCs/>
          <w:i/>
          <w:sz w:val="24"/>
          <w:szCs w:val="24"/>
        </w:rPr>
        <w:t>menty</w:t>
      </w:r>
      <w:r w:rsidR="007448A6">
        <w:rPr>
          <w:rFonts w:eastAsia="ScalaSansPro-Bold" w:cstheme="minorHAnsi"/>
          <w:b/>
          <w:bCs/>
          <w:i/>
          <w:sz w:val="24"/>
          <w:szCs w:val="24"/>
        </w:rPr>
        <w:t xml:space="preserve">               </w:t>
      </w:r>
      <w:r w:rsidR="00D972B5">
        <w:rPr>
          <w:rFonts w:eastAsia="ScalaSansPro-Bold" w:cstheme="minorHAnsi"/>
          <w:b/>
          <w:bCs/>
          <w:i/>
          <w:sz w:val="24"/>
          <w:szCs w:val="24"/>
        </w:rPr>
        <w:t xml:space="preserve"> i cechy jakości produktu, </w:t>
      </w:r>
      <w:r w:rsidR="000B36E2">
        <w:rPr>
          <w:b/>
          <w:i/>
          <w:sz w:val="24"/>
          <w:szCs w:val="24"/>
        </w:rPr>
        <w:t>do tematu – n</w:t>
      </w:r>
      <w:r w:rsidR="00D61025">
        <w:rPr>
          <w:b/>
          <w:i/>
          <w:sz w:val="24"/>
          <w:szCs w:val="24"/>
        </w:rPr>
        <w:t>ormy i procedury oceny zgodności podczas realizacji zadań zawodowych.</w:t>
      </w:r>
      <w:r w:rsidRPr="007A1E43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. </w:t>
      </w:r>
    </w:p>
    <w:p w:rsidR="00754DC6" w:rsidRPr="00271A21" w:rsidRDefault="00754DC6" w:rsidP="00D973D2">
      <w:pPr>
        <w:spacing w:after="0" w:line="240" w:lineRule="auto"/>
        <w:jc w:val="both"/>
        <w:rPr>
          <w:b/>
          <w:i/>
          <w:sz w:val="4"/>
          <w:szCs w:val="4"/>
        </w:rPr>
      </w:pPr>
    </w:p>
    <w:p w:rsidR="0047137C" w:rsidRPr="005C134C" w:rsidRDefault="0047137C" w:rsidP="00D973D2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773859" w:rsidRPr="00D972B5" w:rsidRDefault="0047137C" w:rsidP="00D973D2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773859" w:rsidRDefault="00773859" w:rsidP="00D973D2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12"/>
          <w:szCs w:val="12"/>
        </w:rPr>
      </w:pPr>
    </w:p>
    <w:p w:rsidR="00545C5E" w:rsidRDefault="00545C5E" w:rsidP="00D973D2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877A"/>
          <w:sz w:val="24"/>
          <w:szCs w:val="24"/>
        </w:rPr>
        <w:t xml:space="preserve">       </w:t>
      </w:r>
      <w:r w:rsidR="00D972B5">
        <w:rPr>
          <w:rFonts w:eastAsia="ScalaSansPro-Bold" w:cstheme="minorHAnsi"/>
          <w:b/>
          <w:bCs/>
          <w:color w:val="00B050"/>
          <w:sz w:val="24"/>
          <w:szCs w:val="24"/>
        </w:rPr>
        <w:t>Oznaczenie/</w:t>
      </w:r>
      <w:r w:rsidRPr="00545C5E">
        <w:rPr>
          <w:rFonts w:eastAsia="ScalaSansPro-Bold" w:cstheme="minorHAnsi"/>
          <w:b/>
          <w:bCs/>
          <w:color w:val="00B050"/>
          <w:sz w:val="24"/>
          <w:szCs w:val="24"/>
        </w:rPr>
        <w:t>oznakowanie CE</w:t>
      </w:r>
      <w:r w:rsidRPr="00545C5E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545C5E">
        <w:rPr>
          <w:rFonts w:eastAsia="ScalaSansPro-Bold" w:cstheme="minorHAnsi"/>
          <w:color w:val="000000"/>
          <w:sz w:val="24"/>
          <w:szCs w:val="24"/>
        </w:rPr>
        <w:t xml:space="preserve">(franc. </w:t>
      </w:r>
      <w:r w:rsidRPr="00545C5E">
        <w:rPr>
          <w:rFonts w:eastAsia="ScalaPro-Ita" w:cstheme="minorHAnsi"/>
          <w:i/>
          <w:iCs/>
          <w:color w:val="000000"/>
          <w:sz w:val="24"/>
          <w:szCs w:val="24"/>
        </w:rPr>
        <w:t>Conformite Europeenne</w:t>
      </w:r>
      <w:r w:rsidRPr="00545C5E">
        <w:rPr>
          <w:rFonts w:eastAsia="ScalaSansPro-Bold" w:cstheme="minorHAnsi"/>
          <w:color w:val="000000"/>
          <w:sz w:val="24"/>
          <w:szCs w:val="24"/>
        </w:rPr>
        <w:t>) umieszczone na wyrobie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45C5E">
        <w:rPr>
          <w:rFonts w:eastAsia="ScalaSansPro-Bold" w:cstheme="minorHAnsi"/>
          <w:color w:val="000000"/>
          <w:sz w:val="24"/>
          <w:szCs w:val="24"/>
        </w:rPr>
        <w:t>jest deklaracją producenta, że wyrób spełnia wymagania dyrektyw tzw. „nowego podejścia”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45C5E">
        <w:rPr>
          <w:rFonts w:eastAsia="ScalaSansPro-Bold" w:cstheme="minorHAnsi"/>
          <w:color w:val="000000"/>
          <w:sz w:val="24"/>
          <w:szCs w:val="24"/>
        </w:rPr>
        <w:t>Unii Europejskiej (UE). Dyrektywy nowego podejścia dotyczą bezpieczeństwa użytkowania,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45C5E">
        <w:rPr>
          <w:rFonts w:eastAsia="ScalaSansPro-Bold" w:cstheme="minorHAnsi"/>
          <w:color w:val="000000"/>
          <w:sz w:val="24"/>
          <w:szCs w:val="24"/>
        </w:rPr>
        <w:t>ochrony zdrowia i ochrony środowiska, określają zagrożenia, które producent</w:t>
      </w:r>
      <w:r>
        <w:rPr>
          <w:rFonts w:eastAsia="ScalaSansPro-Bold" w:cstheme="minorHAnsi"/>
          <w:color w:val="000000"/>
          <w:sz w:val="24"/>
          <w:szCs w:val="24"/>
        </w:rPr>
        <w:t xml:space="preserve"> powinien </w:t>
      </w:r>
      <w:r w:rsidRPr="00545C5E">
        <w:rPr>
          <w:rFonts w:eastAsia="ScalaSansPro-Bold" w:cstheme="minorHAnsi"/>
          <w:color w:val="000000"/>
          <w:sz w:val="24"/>
          <w:szCs w:val="24"/>
        </w:rPr>
        <w:t>wykryć i wyeliminować.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45C5E">
        <w:rPr>
          <w:rFonts w:eastAsia="ScalaSansPro-Bold" w:cstheme="minorHAnsi"/>
          <w:color w:val="000000"/>
          <w:sz w:val="24"/>
          <w:szCs w:val="24"/>
        </w:rPr>
        <w:t>Aby oznakować swój wyrób znakiem CE, producent wykonuje analizy i dąży do spełnienia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45C5E">
        <w:rPr>
          <w:rFonts w:eastAsia="ScalaSansPro-Bold" w:cstheme="minorHAnsi"/>
          <w:color w:val="000000"/>
          <w:sz w:val="24"/>
          <w:szCs w:val="24"/>
        </w:rPr>
        <w:t xml:space="preserve">odnośnych wymagań, a następnie poddaje produkt procedurze </w:t>
      </w:r>
      <w:r w:rsidRPr="00545C5E">
        <w:rPr>
          <w:rFonts w:eastAsia="ScalaSansPro-Bold" w:cstheme="minorHAnsi"/>
          <w:b/>
          <w:bCs/>
          <w:color w:val="00B050"/>
          <w:sz w:val="24"/>
          <w:szCs w:val="24"/>
        </w:rPr>
        <w:t>oceny</w:t>
      </w:r>
      <w:r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545C5E">
        <w:rPr>
          <w:rFonts w:eastAsia="ScalaSansPro-Bold" w:cstheme="minorHAnsi"/>
          <w:b/>
          <w:bCs/>
          <w:color w:val="00B050"/>
          <w:sz w:val="24"/>
          <w:szCs w:val="24"/>
        </w:rPr>
        <w:t>zgodności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45C5E">
        <w:rPr>
          <w:rFonts w:eastAsia="ScalaSansPro-Bold" w:cstheme="minorHAnsi"/>
          <w:color w:val="000000"/>
          <w:sz w:val="24"/>
          <w:szCs w:val="24"/>
        </w:rPr>
        <w:t>z odpowiednimi dyrektywami. Przebieg i wyniki działań są dokumentowane.</w:t>
      </w:r>
      <w:r>
        <w:rPr>
          <w:rFonts w:eastAsia="ScalaSansPro-Bold" w:cstheme="minorHAnsi"/>
          <w:color w:val="000000"/>
          <w:sz w:val="24"/>
          <w:szCs w:val="24"/>
        </w:rPr>
        <w:t xml:space="preserve">   </w:t>
      </w:r>
    </w:p>
    <w:p w:rsidR="0055335F" w:rsidRDefault="00545C5E" w:rsidP="00D973D2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545C5E">
        <w:rPr>
          <w:rFonts w:eastAsia="ScalaSansPro-Bold" w:cstheme="minorHAnsi"/>
          <w:color w:val="000000"/>
          <w:sz w:val="24"/>
          <w:szCs w:val="24"/>
        </w:rPr>
        <w:t>Procedura oceny zgodności realizowana przez producenta (lub jego upoważnionego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45C5E">
        <w:rPr>
          <w:rFonts w:eastAsia="ScalaSansPro-Bold" w:cstheme="minorHAnsi"/>
          <w:color w:val="000000"/>
          <w:sz w:val="24"/>
          <w:szCs w:val="24"/>
        </w:rPr>
        <w:t>przedstawiciela) polega na wykonaniu sekwencji określonych przepisami działań (tzw.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45C5E">
        <w:rPr>
          <w:rFonts w:eastAsia="ScalaSansPro-Bold" w:cstheme="minorHAnsi"/>
          <w:color w:val="000000"/>
          <w:sz w:val="24"/>
          <w:szCs w:val="24"/>
        </w:rPr>
        <w:t>modułów) oznaczanych w dokumentacji wielkimi literami.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45C5E">
        <w:rPr>
          <w:rFonts w:eastAsia="ScalaSansPro-Bold" w:cstheme="minorHAnsi"/>
          <w:color w:val="000000"/>
          <w:sz w:val="24"/>
          <w:szCs w:val="24"/>
        </w:rPr>
        <w:t>Wybór sekwencji modułów zależy od producenta, który wybiera ją według własnego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45C5E">
        <w:rPr>
          <w:rFonts w:eastAsia="ScalaSansPro-Bold" w:cstheme="minorHAnsi"/>
          <w:color w:val="000000"/>
          <w:sz w:val="24"/>
          <w:szCs w:val="24"/>
        </w:rPr>
        <w:t xml:space="preserve">uznania z możliwości określonych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 </w:t>
      </w:r>
      <w:r w:rsidRPr="00545C5E">
        <w:rPr>
          <w:rFonts w:eastAsia="ScalaSansPro-Bold" w:cstheme="minorHAnsi"/>
          <w:color w:val="000000"/>
          <w:sz w:val="24"/>
          <w:szCs w:val="24"/>
        </w:rPr>
        <w:t>w dyrektywie dotyczącej danego wyrobu.</w:t>
      </w:r>
    </w:p>
    <w:p w:rsidR="009A279E" w:rsidRPr="009A279E" w:rsidRDefault="009A279E" w:rsidP="00D97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9A279E">
        <w:rPr>
          <w:rFonts w:cstheme="minorHAnsi"/>
          <w:color w:val="000000"/>
          <w:sz w:val="24"/>
          <w:szCs w:val="24"/>
        </w:rPr>
        <w:t>W wielu przypadkach (w zależności od wyrobu) procedura oceny zgodności wymaga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 xml:space="preserve">udziału tzw. </w:t>
      </w:r>
      <w:r w:rsidRPr="009A279E">
        <w:rPr>
          <w:rFonts w:eastAsia="ScalaSansPro-Bold" w:cstheme="minorHAnsi"/>
          <w:b/>
          <w:bCs/>
          <w:color w:val="00B050"/>
          <w:sz w:val="24"/>
          <w:szCs w:val="24"/>
        </w:rPr>
        <w:t>jednostki notyfikowanej</w:t>
      </w:r>
      <w:r w:rsidRPr="009A279E">
        <w:rPr>
          <w:rFonts w:cstheme="minorHAnsi"/>
          <w:color w:val="000000"/>
          <w:sz w:val="24"/>
          <w:szCs w:val="24"/>
        </w:rPr>
        <w:t>. Jest to organizacja wyznaczona przez władze krajowe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do wykonywania zadań wynikających z dyrektyw (Decyzja Parlamentu Europejskiego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i Rady 768/2008/WE). Jeżeli produkt wymaga tylko oceny zgodnie z modułem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A (wewnę</w:t>
      </w:r>
      <w:r>
        <w:rPr>
          <w:rFonts w:cstheme="minorHAnsi"/>
          <w:color w:val="000000"/>
          <w:sz w:val="24"/>
          <w:szCs w:val="24"/>
        </w:rPr>
        <w:t xml:space="preserve">trzna </w:t>
      </w:r>
      <w:r w:rsidRPr="009A279E">
        <w:rPr>
          <w:rFonts w:cstheme="minorHAnsi"/>
          <w:color w:val="000000"/>
          <w:sz w:val="24"/>
          <w:szCs w:val="24"/>
        </w:rPr>
        <w:t>kontrola produkcji) – producent sam dokonuje oceny (bez udziału strony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 xml:space="preserve">trzeciej). </w:t>
      </w:r>
      <w:r>
        <w:rPr>
          <w:rFonts w:cstheme="minorHAnsi"/>
          <w:color w:val="000000"/>
          <w:sz w:val="24"/>
          <w:szCs w:val="24"/>
        </w:rPr>
        <w:t xml:space="preserve">                         </w:t>
      </w:r>
      <w:r w:rsidRPr="009A279E">
        <w:rPr>
          <w:rFonts w:cstheme="minorHAnsi"/>
          <w:color w:val="000000"/>
          <w:sz w:val="24"/>
          <w:szCs w:val="24"/>
        </w:rPr>
        <w:t>W pozostałych przypadkach (moduły B–H2) producent zgłasza się do wybranej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przez siebie jednostki notyfikowanej, aby dokonała oceny zgodności jego produktu. Producent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ma swobodę wyboru jednostki z całego obszaru UE.</w:t>
      </w:r>
    </w:p>
    <w:p w:rsidR="009A279E" w:rsidRPr="009A279E" w:rsidRDefault="009A279E" w:rsidP="00D97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9A279E">
        <w:rPr>
          <w:rFonts w:cstheme="minorHAnsi"/>
          <w:color w:val="000000"/>
          <w:sz w:val="24"/>
          <w:szCs w:val="24"/>
        </w:rPr>
        <w:t xml:space="preserve">Istotnym pojęciem związanym z oceną zgodności jest </w:t>
      </w:r>
      <w:r w:rsidRPr="009A279E">
        <w:rPr>
          <w:rFonts w:eastAsia="ScalaSansPro-Bold" w:cstheme="minorHAnsi"/>
          <w:b/>
          <w:bCs/>
          <w:color w:val="00B050"/>
          <w:sz w:val="24"/>
          <w:szCs w:val="24"/>
        </w:rPr>
        <w:t>domniemanie zgodności</w:t>
      </w:r>
      <w:r w:rsidRPr="009A279E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polegające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na uznaniu, że wyroby, które spełniają wymagania zawarte w normach krajowych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implementujących normy zharmonizowane, których numery opublikowano w Dzienniku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Urzędowym Wspólnot Europejskich, są zgodne z wymaganiami zasadniczymi. Jeśli producent</w:t>
      </w:r>
      <w:r w:rsidR="00D72251"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nie zastosował takiej normy lub zastosował ją częściowo, musi udokumentować</w:t>
      </w:r>
      <w:r w:rsidR="00D72251"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działania podjęte w celu spełnienia wymagań zasadniczych oraz ich zasadność.</w:t>
      </w:r>
      <w:r w:rsidR="00D72251"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 xml:space="preserve">Działania oceniające zamyka wystawienie przez producenta </w:t>
      </w:r>
      <w:r w:rsidRPr="00D72251">
        <w:rPr>
          <w:rFonts w:eastAsia="ScalaSansPro-Bold" w:cstheme="minorHAnsi"/>
          <w:b/>
          <w:bCs/>
          <w:color w:val="00B050"/>
          <w:sz w:val="24"/>
          <w:szCs w:val="24"/>
        </w:rPr>
        <w:t>deklaracji zgodności EC</w:t>
      </w:r>
      <w:r w:rsidR="00D72251">
        <w:rPr>
          <w:rFonts w:cstheme="minorHAnsi"/>
          <w:color w:val="000000"/>
          <w:sz w:val="24"/>
          <w:szCs w:val="24"/>
        </w:rPr>
        <w:t xml:space="preserve"> </w:t>
      </w:r>
      <w:r w:rsidRPr="00D72251">
        <w:rPr>
          <w:rFonts w:eastAsia="ScalaSansPro-Bold" w:cstheme="minorHAnsi"/>
          <w:b/>
          <w:bCs/>
          <w:color w:val="00B050"/>
          <w:sz w:val="24"/>
          <w:szCs w:val="24"/>
        </w:rPr>
        <w:t>(WE)</w:t>
      </w:r>
      <w:r w:rsidRPr="009A279E">
        <w:rPr>
          <w:rFonts w:cstheme="minorHAnsi"/>
          <w:color w:val="000000"/>
          <w:sz w:val="24"/>
          <w:szCs w:val="24"/>
        </w:rPr>
        <w:t xml:space="preserve">, a </w:t>
      </w:r>
      <w:r w:rsidRPr="00D72251">
        <w:rPr>
          <w:rFonts w:eastAsia="ScalaSansPro-Bold" w:cstheme="minorHAnsi"/>
          <w:b/>
          <w:bCs/>
          <w:color w:val="00B050"/>
          <w:sz w:val="24"/>
          <w:szCs w:val="24"/>
        </w:rPr>
        <w:t xml:space="preserve">od 2010 r. </w:t>
      </w:r>
      <w:r w:rsidR="00D72251"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                 </w:t>
      </w:r>
      <w:r w:rsidRPr="00D72251">
        <w:rPr>
          <w:rFonts w:eastAsia="ScalaSansPro-Bold" w:cstheme="minorHAnsi"/>
          <w:b/>
          <w:bCs/>
          <w:color w:val="00B050"/>
          <w:sz w:val="24"/>
          <w:szCs w:val="24"/>
        </w:rPr>
        <w:t>(po</w:t>
      </w:r>
      <w:r w:rsidRPr="009A279E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D72251">
        <w:rPr>
          <w:rFonts w:eastAsia="ScalaSansPro-Bold" w:cstheme="minorHAnsi"/>
          <w:b/>
          <w:bCs/>
          <w:color w:val="00B050"/>
          <w:sz w:val="24"/>
          <w:szCs w:val="24"/>
        </w:rPr>
        <w:t>wejściu Traktatu z Lizbony) EU (UE)</w:t>
      </w:r>
      <w:r w:rsidRPr="00D72251">
        <w:rPr>
          <w:rFonts w:cstheme="minorHAnsi"/>
          <w:sz w:val="24"/>
          <w:szCs w:val="24"/>
        </w:rPr>
        <w:t>.</w:t>
      </w:r>
      <w:r w:rsidRPr="009A279E">
        <w:rPr>
          <w:rFonts w:cstheme="minorHAnsi"/>
          <w:color w:val="000000"/>
          <w:sz w:val="24"/>
          <w:szCs w:val="24"/>
        </w:rPr>
        <w:t xml:space="preserve"> Dla przypadków określonych</w:t>
      </w:r>
      <w:r w:rsidR="00D72251"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w pozostałych dyrektywach, deklaracja ta jest dołączona do produktu, albo udostępniana</w:t>
      </w:r>
      <w:r w:rsidR="00D72251"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na żądanie organów nadzoru rynku.</w:t>
      </w:r>
      <w:r w:rsidR="00D72251"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Wszystkie te działania zostały ustanowione w celu eliminowania barier w przepływie</w:t>
      </w:r>
      <w:r w:rsidR="00D72251"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towarów na rynku Unii. Kraje członkowskie nie mogą zakazać wprowadzenia na swój</w:t>
      </w:r>
      <w:r w:rsidR="00D72251"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rynek wyrobu z oznakowaniem CE.</w:t>
      </w:r>
      <w:r w:rsidR="00D72251"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Jeśli dany wyrób podlega przepisom chociaż jednej dyrektywy nowego podejścia, to bez</w:t>
      </w:r>
      <w:r w:rsidR="00D72251"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oznakowania CE nie może być</w:t>
      </w:r>
      <w:r w:rsidR="00D72251"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wprowadzany do obrotu ani użytkowania na terenie Unii</w:t>
      </w:r>
      <w:r w:rsidR="00D72251">
        <w:rPr>
          <w:rFonts w:cstheme="minorHAnsi"/>
          <w:color w:val="000000"/>
          <w:sz w:val="24"/>
          <w:szCs w:val="24"/>
        </w:rPr>
        <w:t xml:space="preserve"> </w:t>
      </w:r>
      <w:r w:rsidRPr="009A279E">
        <w:rPr>
          <w:rFonts w:cstheme="minorHAnsi"/>
          <w:color w:val="000000"/>
          <w:sz w:val="24"/>
          <w:szCs w:val="24"/>
        </w:rPr>
        <w:t>Europejskiej.</w:t>
      </w:r>
    </w:p>
    <w:p w:rsidR="009A279E" w:rsidRDefault="00D72251" w:rsidP="00D97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       </w:t>
      </w:r>
      <w:r w:rsidR="009A279E" w:rsidRPr="009A279E">
        <w:rPr>
          <w:rFonts w:cstheme="minorHAnsi"/>
          <w:color w:val="000000"/>
          <w:sz w:val="24"/>
          <w:szCs w:val="24"/>
        </w:rPr>
        <w:t>Organy nadzoru rynku mają za zadanie egzekwowanie prawa europejskiego chroniącego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9A279E" w:rsidRPr="009A279E">
        <w:rPr>
          <w:rFonts w:cstheme="minorHAnsi"/>
          <w:color w:val="000000"/>
          <w:sz w:val="24"/>
          <w:szCs w:val="24"/>
        </w:rPr>
        <w:t>interesy konsumentów i pracowników oraz zapobieganie nieuczciwej konkurencji.</w:t>
      </w:r>
      <w:r>
        <w:rPr>
          <w:rFonts w:cstheme="minorHAnsi"/>
          <w:color w:val="000000"/>
          <w:sz w:val="24"/>
          <w:szCs w:val="24"/>
        </w:rPr>
        <w:t xml:space="preserve"> W Polsce </w:t>
      </w:r>
      <w:r w:rsidR="009A279E" w:rsidRPr="009A279E">
        <w:rPr>
          <w:rFonts w:cstheme="minorHAnsi"/>
          <w:color w:val="000000"/>
          <w:sz w:val="24"/>
          <w:szCs w:val="24"/>
        </w:rPr>
        <w:t>zadania organu nadzoru rynku spełnia Prezes Urzędu Ochrony Konkurencji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9A279E" w:rsidRPr="009A279E">
        <w:rPr>
          <w:rFonts w:cstheme="minorHAnsi"/>
          <w:color w:val="000000"/>
          <w:sz w:val="24"/>
          <w:szCs w:val="24"/>
        </w:rPr>
        <w:t>i Konsumenta.</w:t>
      </w:r>
    </w:p>
    <w:p w:rsidR="00D72251" w:rsidRPr="00D72251" w:rsidRDefault="00D72251" w:rsidP="00D97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D72251">
        <w:rPr>
          <w:rFonts w:cstheme="minorHAnsi"/>
          <w:color w:val="000000"/>
          <w:sz w:val="24"/>
          <w:szCs w:val="24"/>
        </w:rPr>
        <w:t xml:space="preserve">Nie można mylić obowiązkowego w Polsce do dnia 30 kwietnia 2004 </w:t>
      </w:r>
      <w:proofErr w:type="spellStart"/>
      <w:r w:rsidRPr="00D72251">
        <w:rPr>
          <w:rFonts w:cstheme="minorHAnsi"/>
          <w:color w:val="000000"/>
          <w:sz w:val="24"/>
          <w:szCs w:val="24"/>
        </w:rPr>
        <w:t>r</w:t>
      </w:r>
      <w:proofErr w:type="spellEnd"/>
      <w:r w:rsidRPr="00D72251">
        <w:rPr>
          <w:rFonts w:cstheme="minorHAnsi"/>
          <w:color w:val="000000"/>
          <w:sz w:val="24"/>
          <w:szCs w:val="24"/>
        </w:rPr>
        <w:t xml:space="preserve"> (przed wejściem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72251">
        <w:rPr>
          <w:rFonts w:cstheme="minorHAnsi"/>
          <w:color w:val="000000"/>
          <w:sz w:val="24"/>
          <w:szCs w:val="24"/>
        </w:rPr>
        <w:t>Polski do UE) znaku bezpieczeństwa „B” z oznakowaniem CE. Dziś znak „B” ma charakter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72251">
        <w:rPr>
          <w:rFonts w:cstheme="minorHAnsi"/>
          <w:color w:val="000000"/>
          <w:sz w:val="24"/>
          <w:szCs w:val="24"/>
        </w:rPr>
        <w:t>wyłącznie dobrowolny (z wyjątkiem dyrektywy poświęconej materiałom budowlanym).</w:t>
      </w:r>
    </w:p>
    <w:p w:rsidR="00D72251" w:rsidRPr="00D72251" w:rsidRDefault="00D72251" w:rsidP="00D97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877A"/>
          <w:sz w:val="24"/>
          <w:szCs w:val="24"/>
        </w:rPr>
        <w:t xml:space="preserve">       </w:t>
      </w:r>
      <w:r w:rsidRPr="00D72251">
        <w:rPr>
          <w:rFonts w:eastAsia="ScalaSansPro-Bold" w:cstheme="minorHAnsi"/>
          <w:b/>
          <w:bCs/>
          <w:color w:val="00B050"/>
          <w:sz w:val="24"/>
          <w:szCs w:val="24"/>
        </w:rPr>
        <w:t>Ocena jakościowa</w:t>
      </w:r>
      <w:r w:rsidRPr="00D72251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D72251">
        <w:rPr>
          <w:rFonts w:cstheme="minorHAnsi"/>
          <w:color w:val="000000"/>
          <w:sz w:val="24"/>
          <w:szCs w:val="24"/>
        </w:rPr>
        <w:t>jest przeciwieństwem oceny iloś</w:t>
      </w:r>
      <w:r>
        <w:rPr>
          <w:rFonts w:cstheme="minorHAnsi"/>
          <w:color w:val="000000"/>
          <w:sz w:val="24"/>
          <w:szCs w:val="24"/>
        </w:rPr>
        <w:t xml:space="preserve">ciowej i polega na oszacowaniu </w:t>
      </w:r>
      <w:r w:rsidRPr="00D72251">
        <w:rPr>
          <w:rFonts w:cstheme="minorHAnsi"/>
          <w:color w:val="000000"/>
          <w:sz w:val="24"/>
          <w:szCs w:val="24"/>
        </w:rPr>
        <w:t>właściwości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72251">
        <w:rPr>
          <w:rFonts w:cstheme="minorHAnsi"/>
          <w:color w:val="000000"/>
          <w:sz w:val="24"/>
          <w:szCs w:val="24"/>
        </w:rPr>
        <w:t>dowolnego zdarzenia, procesu lub systemu w skalach relatywnych (np. duży,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72251">
        <w:rPr>
          <w:rFonts w:cstheme="minorHAnsi"/>
          <w:color w:val="000000"/>
          <w:sz w:val="24"/>
          <w:szCs w:val="24"/>
        </w:rPr>
        <w:t>mały – zawsze, często, czasem, rzadko, nigdy – bardzo dobrze, dobrze, wystarczająco,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72251">
        <w:rPr>
          <w:rFonts w:cstheme="minorHAnsi"/>
          <w:color w:val="000000"/>
          <w:sz w:val="24"/>
          <w:szCs w:val="24"/>
        </w:rPr>
        <w:t>niewystarczająco). Jest powszechnie używana w życiu codziennym, naukach społecznych</w:t>
      </w:r>
      <w:r>
        <w:rPr>
          <w:rFonts w:cstheme="minorHAnsi"/>
          <w:color w:val="000000"/>
          <w:sz w:val="24"/>
          <w:szCs w:val="24"/>
        </w:rPr>
        <w:t xml:space="preserve">                 </w:t>
      </w:r>
      <w:r w:rsidRPr="00D72251">
        <w:rPr>
          <w:rFonts w:cstheme="minorHAnsi"/>
          <w:color w:val="000000"/>
          <w:sz w:val="24"/>
          <w:szCs w:val="24"/>
        </w:rPr>
        <w:t>i innych dziedzinach przez ekspertów, kiedy ich oceny opierają się na trudnym do liczbowego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72251">
        <w:rPr>
          <w:rFonts w:cstheme="minorHAnsi"/>
          <w:color w:val="000000"/>
          <w:sz w:val="24"/>
          <w:szCs w:val="24"/>
        </w:rPr>
        <w:t>oszacowania doświadczeniu, np. na opiniach uznanych autorytetów. Jakościowa ilustracja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72251">
        <w:rPr>
          <w:rFonts w:cstheme="minorHAnsi"/>
          <w:color w:val="000000"/>
          <w:sz w:val="24"/>
          <w:szCs w:val="24"/>
        </w:rPr>
        <w:t>przebiegu procesów jest też wstępną hipotezą do przeprowadzenia eksperymentu</w:t>
      </w:r>
      <w:r>
        <w:rPr>
          <w:rFonts w:cstheme="minorHAnsi"/>
          <w:color w:val="000000"/>
          <w:sz w:val="24"/>
          <w:szCs w:val="24"/>
        </w:rPr>
        <w:t xml:space="preserve">                        </w:t>
      </w:r>
      <w:r w:rsidRPr="00D72251">
        <w:rPr>
          <w:rFonts w:cstheme="minorHAnsi"/>
          <w:color w:val="000000"/>
          <w:sz w:val="24"/>
          <w:szCs w:val="24"/>
        </w:rPr>
        <w:t>lub konstrukcji kwestionariusza w badaniach społecznych.</w:t>
      </w:r>
    </w:p>
    <w:p w:rsidR="00D72251" w:rsidRDefault="00D72251" w:rsidP="00D97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D72251">
        <w:rPr>
          <w:rFonts w:cstheme="minorHAnsi"/>
          <w:color w:val="000000"/>
          <w:sz w:val="24"/>
          <w:szCs w:val="24"/>
        </w:rPr>
        <w:t>We współczesnym społeczeństwie przemysłowym nowe definicje kładą większy nacisk</w:t>
      </w:r>
      <w:r>
        <w:rPr>
          <w:rFonts w:cstheme="minorHAnsi"/>
          <w:color w:val="000000"/>
          <w:sz w:val="24"/>
          <w:szCs w:val="24"/>
        </w:rPr>
        <w:t xml:space="preserve">   </w:t>
      </w:r>
      <w:r w:rsidRPr="00D72251">
        <w:rPr>
          <w:rFonts w:cstheme="minorHAnsi"/>
          <w:color w:val="000000"/>
          <w:sz w:val="24"/>
          <w:szCs w:val="24"/>
        </w:rPr>
        <w:t xml:space="preserve">na jakość produktów określaną przez ich </w:t>
      </w:r>
      <w:r w:rsidRPr="00D72251">
        <w:rPr>
          <w:rFonts w:eastAsia="ScalaSansPro-Bold" w:cstheme="minorHAnsi"/>
          <w:b/>
          <w:bCs/>
          <w:color w:val="00B050"/>
          <w:sz w:val="24"/>
          <w:szCs w:val="24"/>
        </w:rPr>
        <w:t>wartość użytkową</w:t>
      </w:r>
      <w:r w:rsidRPr="00D72251">
        <w:rPr>
          <w:rFonts w:cstheme="minorHAnsi"/>
          <w:color w:val="000000"/>
          <w:sz w:val="24"/>
          <w:szCs w:val="24"/>
        </w:rPr>
        <w:t xml:space="preserve">, a więc na </w:t>
      </w:r>
      <w:r w:rsidRPr="00D72251">
        <w:rPr>
          <w:rFonts w:eastAsia="ScalaSansPro-Bold" w:cstheme="minorHAnsi"/>
          <w:b/>
          <w:bCs/>
          <w:color w:val="00B050"/>
          <w:sz w:val="24"/>
          <w:szCs w:val="24"/>
        </w:rPr>
        <w:t>społeczne aspekty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72251">
        <w:rPr>
          <w:rFonts w:eastAsia="ScalaSansPro-Bold" w:cstheme="minorHAnsi"/>
          <w:b/>
          <w:bCs/>
          <w:color w:val="00B050"/>
          <w:sz w:val="24"/>
          <w:szCs w:val="24"/>
        </w:rPr>
        <w:t>użyteczności</w:t>
      </w:r>
      <w:r w:rsidRPr="00D72251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D72251">
        <w:rPr>
          <w:rFonts w:cstheme="minorHAnsi"/>
          <w:color w:val="000000"/>
          <w:sz w:val="24"/>
          <w:szCs w:val="24"/>
        </w:rPr>
        <w:t>technologii i usług.</w:t>
      </w:r>
    </w:p>
    <w:p w:rsidR="00D61025" w:rsidRPr="00D61025" w:rsidRDefault="00D61025" w:rsidP="00D97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:rsidR="00D61025" w:rsidRPr="00D61025" w:rsidRDefault="00D61025" w:rsidP="00D97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D61025">
        <w:rPr>
          <w:rFonts w:cstheme="minorHAnsi"/>
          <w:b/>
          <w:color w:val="000000"/>
          <w:sz w:val="24"/>
          <w:szCs w:val="24"/>
          <w:u w:val="single"/>
        </w:rPr>
        <w:t>Przykład</w:t>
      </w:r>
    </w:p>
    <w:p w:rsidR="00D61025" w:rsidRDefault="00D61025" w:rsidP="00D973D2">
      <w:p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color w:val="000000"/>
          <w:sz w:val="24"/>
          <w:szCs w:val="24"/>
        </w:rPr>
      </w:pPr>
      <w:r w:rsidRPr="00D61025">
        <w:rPr>
          <w:rFonts w:ascii="ScalaPro" w:hAnsi="ScalaPro" w:cs="ScalaPro"/>
          <w:color w:val="000000"/>
          <w:sz w:val="24"/>
          <w:szCs w:val="24"/>
        </w:rPr>
        <w:t>Ocena jakości artykułów pisanych do Wydawnictwa XYZ wygląda następująco:</w:t>
      </w:r>
    </w:p>
    <w:p w:rsidR="00D61025" w:rsidRPr="00D61025" w:rsidRDefault="00D61025" w:rsidP="00D973D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color w:val="000000"/>
          <w:sz w:val="24"/>
          <w:szCs w:val="24"/>
        </w:rPr>
      </w:pPr>
      <w:r w:rsidRPr="00D61025">
        <w:rPr>
          <w:rFonts w:eastAsia="ScalaSansPro-Bold" w:cstheme="minorHAnsi"/>
          <w:b/>
          <w:bCs/>
          <w:color w:val="00B050"/>
          <w:sz w:val="24"/>
          <w:szCs w:val="24"/>
        </w:rPr>
        <w:t>perfekcyjny</w:t>
      </w:r>
      <w:r w:rsidRPr="00D61025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D61025">
        <w:rPr>
          <w:rFonts w:cstheme="minorHAnsi"/>
          <w:color w:val="000000"/>
          <w:sz w:val="24"/>
          <w:szCs w:val="24"/>
        </w:rPr>
        <w:t>– zgodny z przyjętymi kryteriami, dane kompletne;</w:t>
      </w:r>
    </w:p>
    <w:p w:rsidR="00D61025" w:rsidRPr="00D61025" w:rsidRDefault="00D61025" w:rsidP="00D973D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color w:val="000000"/>
          <w:sz w:val="24"/>
          <w:szCs w:val="24"/>
        </w:rPr>
      </w:pPr>
      <w:r w:rsidRPr="00D61025">
        <w:rPr>
          <w:rFonts w:eastAsia="ScalaSansPro-Bold" w:cstheme="minorHAnsi"/>
          <w:b/>
          <w:bCs/>
          <w:color w:val="00B050"/>
          <w:sz w:val="24"/>
          <w:szCs w:val="24"/>
        </w:rPr>
        <w:t>bardzo dobry</w:t>
      </w:r>
      <w:r w:rsidRPr="00D61025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D61025">
        <w:rPr>
          <w:rFonts w:cstheme="minorHAnsi"/>
          <w:color w:val="000000"/>
          <w:sz w:val="24"/>
          <w:szCs w:val="24"/>
        </w:rPr>
        <w:t>– kompletny, zgodny z przyjętymi kryteriami, ale brak weryfikacji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61025">
        <w:rPr>
          <w:rFonts w:cstheme="minorHAnsi"/>
          <w:color w:val="000000"/>
          <w:sz w:val="24"/>
          <w:szCs w:val="24"/>
        </w:rPr>
        <w:t>danych ze źródłami;</w:t>
      </w:r>
    </w:p>
    <w:p w:rsidR="00D61025" w:rsidRPr="00D61025" w:rsidRDefault="00D61025" w:rsidP="00D973D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color w:val="000000"/>
          <w:sz w:val="24"/>
          <w:szCs w:val="24"/>
        </w:rPr>
      </w:pPr>
      <w:r w:rsidRPr="00D61025">
        <w:rPr>
          <w:rFonts w:eastAsia="ScalaSansPro-Bold" w:cstheme="minorHAnsi"/>
          <w:b/>
          <w:bCs/>
          <w:color w:val="00B050"/>
          <w:sz w:val="24"/>
          <w:szCs w:val="24"/>
        </w:rPr>
        <w:t>dobry</w:t>
      </w:r>
      <w:r w:rsidRPr="00D61025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D61025">
        <w:rPr>
          <w:rFonts w:cstheme="minorHAnsi"/>
          <w:color w:val="000000"/>
          <w:sz w:val="24"/>
          <w:szCs w:val="24"/>
        </w:rPr>
        <w:t>– dobry merytorycznie, nie-zalążek, al</w:t>
      </w:r>
      <w:r>
        <w:rPr>
          <w:rFonts w:cstheme="minorHAnsi"/>
          <w:color w:val="000000"/>
          <w:sz w:val="24"/>
          <w:szCs w:val="24"/>
        </w:rPr>
        <w:t xml:space="preserve">e za krótki oraz z wadami w 1–2 </w:t>
      </w:r>
      <w:r w:rsidRPr="00D61025">
        <w:rPr>
          <w:rFonts w:cstheme="minorHAnsi"/>
          <w:color w:val="000000"/>
          <w:sz w:val="24"/>
          <w:szCs w:val="24"/>
        </w:rPr>
        <w:t>przyjętych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61025">
        <w:rPr>
          <w:rFonts w:cstheme="minorHAnsi"/>
          <w:color w:val="000000"/>
          <w:sz w:val="24"/>
          <w:szCs w:val="24"/>
        </w:rPr>
        <w:t>kryteriów;</w:t>
      </w:r>
    </w:p>
    <w:p w:rsidR="00D61025" w:rsidRPr="00D61025" w:rsidRDefault="00D61025" w:rsidP="00D973D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color w:val="000000"/>
          <w:sz w:val="24"/>
          <w:szCs w:val="24"/>
        </w:rPr>
      </w:pPr>
      <w:r w:rsidRPr="00D61025">
        <w:rPr>
          <w:rFonts w:eastAsia="ScalaSansPro-Bold" w:cstheme="minorHAnsi"/>
          <w:b/>
          <w:bCs/>
          <w:color w:val="00B050"/>
          <w:sz w:val="24"/>
          <w:szCs w:val="24"/>
        </w:rPr>
        <w:t>zalążek</w:t>
      </w:r>
      <w:r w:rsidRPr="00D61025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D61025">
        <w:rPr>
          <w:rFonts w:cstheme="minorHAnsi"/>
          <w:color w:val="000000"/>
          <w:sz w:val="24"/>
          <w:szCs w:val="24"/>
        </w:rPr>
        <w:t>– jest artykuł, ale wymaga dopracowania wg każdego lub większości przyjętych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61025">
        <w:rPr>
          <w:rFonts w:cstheme="minorHAnsi"/>
          <w:color w:val="000000"/>
          <w:sz w:val="24"/>
          <w:szCs w:val="24"/>
        </w:rPr>
        <w:t>kryteriów.</w:t>
      </w:r>
    </w:p>
    <w:sectPr w:rsidR="00D61025" w:rsidRPr="00D61025" w:rsidSect="00BA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9BC"/>
    <w:multiLevelType w:val="hybridMultilevel"/>
    <w:tmpl w:val="D8CA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769DD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81C30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C0957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975"/>
    <w:multiLevelType w:val="multilevel"/>
    <w:tmpl w:val="B1E2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90315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22951"/>
    <w:multiLevelType w:val="multilevel"/>
    <w:tmpl w:val="6F2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544A4"/>
    <w:multiLevelType w:val="hybridMultilevel"/>
    <w:tmpl w:val="2CE01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E7FB3"/>
    <w:multiLevelType w:val="hybridMultilevel"/>
    <w:tmpl w:val="EFB69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10698"/>
    <w:multiLevelType w:val="hybridMultilevel"/>
    <w:tmpl w:val="53E6F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814B1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31BC6"/>
    <w:multiLevelType w:val="multilevel"/>
    <w:tmpl w:val="87D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B15282"/>
    <w:multiLevelType w:val="hybridMultilevel"/>
    <w:tmpl w:val="8DC06BA2"/>
    <w:lvl w:ilvl="0" w:tplc="CFF0D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A14F30"/>
    <w:multiLevelType w:val="hybridMultilevel"/>
    <w:tmpl w:val="65E8CB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16FCF"/>
    <w:multiLevelType w:val="hybridMultilevel"/>
    <w:tmpl w:val="3AD0A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E3528"/>
    <w:multiLevelType w:val="multilevel"/>
    <w:tmpl w:val="F4D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D95503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96EB2"/>
    <w:multiLevelType w:val="hybridMultilevel"/>
    <w:tmpl w:val="FA96FE5A"/>
    <w:lvl w:ilvl="0" w:tplc="0415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2">
    <w:nsid w:val="5B9C4803"/>
    <w:multiLevelType w:val="hybridMultilevel"/>
    <w:tmpl w:val="A9B88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C7024"/>
    <w:multiLevelType w:val="hybridMultilevel"/>
    <w:tmpl w:val="FCF02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821CD"/>
    <w:multiLevelType w:val="hybridMultilevel"/>
    <w:tmpl w:val="BE9AD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92FEC"/>
    <w:multiLevelType w:val="multilevel"/>
    <w:tmpl w:val="396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D87A23"/>
    <w:multiLevelType w:val="hybridMultilevel"/>
    <w:tmpl w:val="A1A4A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F4961"/>
    <w:multiLevelType w:val="hybridMultilevel"/>
    <w:tmpl w:val="C3669788"/>
    <w:lvl w:ilvl="0" w:tplc="BAF833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A7302"/>
    <w:multiLevelType w:val="hybridMultilevel"/>
    <w:tmpl w:val="B3540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87DE1"/>
    <w:multiLevelType w:val="hybridMultilevel"/>
    <w:tmpl w:val="C9624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511D76"/>
    <w:multiLevelType w:val="hybridMultilevel"/>
    <w:tmpl w:val="90243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828EB"/>
    <w:multiLevelType w:val="hybridMultilevel"/>
    <w:tmpl w:val="EF0EA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1FC5"/>
    <w:multiLevelType w:val="hybridMultilevel"/>
    <w:tmpl w:val="128836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B346F8"/>
    <w:multiLevelType w:val="hybridMultilevel"/>
    <w:tmpl w:val="BF76B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3"/>
  </w:num>
  <w:num w:numId="5">
    <w:abstractNumId w:val="30"/>
  </w:num>
  <w:num w:numId="6">
    <w:abstractNumId w:val="14"/>
  </w:num>
  <w:num w:numId="7">
    <w:abstractNumId w:val="1"/>
  </w:num>
  <w:num w:numId="8">
    <w:abstractNumId w:val="29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22"/>
  </w:num>
  <w:num w:numId="14">
    <w:abstractNumId w:val="20"/>
  </w:num>
  <w:num w:numId="15">
    <w:abstractNumId w:val="25"/>
  </w:num>
  <w:num w:numId="16">
    <w:abstractNumId w:val="26"/>
  </w:num>
  <w:num w:numId="17">
    <w:abstractNumId w:val="7"/>
  </w:num>
  <w:num w:numId="18">
    <w:abstractNumId w:val="15"/>
  </w:num>
  <w:num w:numId="19">
    <w:abstractNumId w:val="35"/>
  </w:num>
  <w:num w:numId="20">
    <w:abstractNumId w:val="21"/>
  </w:num>
  <w:num w:numId="21">
    <w:abstractNumId w:val="9"/>
  </w:num>
  <w:num w:numId="22">
    <w:abstractNumId w:val="18"/>
  </w:num>
  <w:num w:numId="23">
    <w:abstractNumId w:val="19"/>
  </w:num>
  <w:num w:numId="24">
    <w:abstractNumId w:val="11"/>
  </w:num>
  <w:num w:numId="25">
    <w:abstractNumId w:val="5"/>
  </w:num>
  <w:num w:numId="26">
    <w:abstractNumId w:val="13"/>
  </w:num>
  <w:num w:numId="27">
    <w:abstractNumId w:val="12"/>
  </w:num>
  <w:num w:numId="28">
    <w:abstractNumId w:val="32"/>
  </w:num>
  <w:num w:numId="29">
    <w:abstractNumId w:val="24"/>
  </w:num>
  <w:num w:numId="30">
    <w:abstractNumId w:val="31"/>
  </w:num>
  <w:num w:numId="31">
    <w:abstractNumId w:val="16"/>
  </w:num>
  <w:num w:numId="32">
    <w:abstractNumId w:val="28"/>
  </w:num>
  <w:num w:numId="33">
    <w:abstractNumId w:val="34"/>
  </w:num>
  <w:num w:numId="34">
    <w:abstractNumId w:val="27"/>
  </w:num>
  <w:num w:numId="35">
    <w:abstractNumId w:val="23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37C"/>
    <w:rsid w:val="000633EF"/>
    <w:rsid w:val="000B268D"/>
    <w:rsid w:val="000B36E2"/>
    <w:rsid w:val="00173173"/>
    <w:rsid w:val="00182B28"/>
    <w:rsid w:val="001A26C0"/>
    <w:rsid w:val="001B2B98"/>
    <w:rsid w:val="001D389C"/>
    <w:rsid w:val="001E4C2F"/>
    <w:rsid w:val="001E5DD3"/>
    <w:rsid w:val="0020391C"/>
    <w:rsid w:val="00215AC0"/>
    <w:rsid w:val="00222062"/>
    <w:rsid w:val="002226D3"/>
    <w:rsid w:val="00240294"/>
    <w:rsid w:val="00255958"/>
    <w:rsid w:val="00271A21"/>
    <w:rsid w:val="002A5243"/>
    <w:rsid w:val="002C3BD3"/>
    <w:rsid w:val="002D2B5C"/>
    <w:rsid w:val="002F5C96"/>
    <w:rsid w:val="002F60C9"/>
    <w:rsid w:val="003D0119"/>
    <w:rsid w:val="003D6D50"/>
    <w:rsid w:val="0047137C"/>
    <w:rsid w:val="004B6E7C"/>
    <w:rsid w:val="005012C7"/>
    <w:rsid w:val="00531E4B"/>
    <w:rsid w:val="0053306A"/>
    <w:rsid w:val="00545C5E"/>
    <w:rsid w:val="0055335F"/>
    <w:rsid w:val="0056270C"/>
    <w:rsid w:val="00591352"/>
    <w:rsid w:val="005974D7"/>
    <w:rsid w:val="005A0C58"/>
    <w:rsid w:val="005F0CF4"/>
    <w:rsid w:val="00623FEB"/>
    <w:rsid w:val="00625EC7"/>
    <w:rsid w:val="0067015B"/>
    <w:rsid w:val="00675FDE"/>
    <w:rsid w:val="006D2DFE"/>
    <w:rsid w:val="006D589A"/>
    <w:rsid w:val="00716998"/>
    <w:rsid w:val="007448A6"/>
    <w:rsid w:val="0074644C"/>
    <w:rsid w:val="00754DC6"/>
    <w:rsid w:val="00771B06"/>
    <w:rsid w:val="00773859"/>
    <w:rsid w:val="007A1EC4"/>
    <w:rsid w:val="007D40D4"/>
    <w:rsid w:val="00863040"/>
    <w:rsid w:val="00864F39"/>
    <w:rsid w:val="008C221A"/>
    <w:rsid w:val="009A279E"/>
    <w:rsid w:val="00A3011E"/>
    <w:rsid w:val="00AF085E"/>
    <w:rsid w:val="00B16FDF"/>
    <w:rsid w:val="00B23F4E"/>
    <w:rsid w:val="00BA1F58"/>
    <w:rsid w:val="00BD67F8"/>
    <w:rsid w:val="00C42BC7"/>
    <w:rsid w:val="00C441FD"/>
    <w:rsid w:val="00C63F5A"/>
    <w:rsid w:val="00C87754"/>
    <w:rsid w:val="00CA54BD"/>
    <w:rsid w:val="00CE78BF"/>
    <w:rsid w:val="00D61025"/>
    <w:rsid w:val="00D67AC1"/>
    <w:rsid w:val="00D72251"/>
    <w:rsid w:val="00D77E92"/>
    <w:rsid w:val="00D85CB2"/>
    <w:rsid w:val="00D972B5"/>
    <w:rsid w:val="00D973D2"/>
    <w:rsid w:val="00DC21D9"/>
    <w:rsid w:val="00E0205F"/>
    <w:rsid w:val="00E103B0"/>
    <w:rsid w:val="00E26215"/>
    <w:rsid w:val="00E44026"/>
    <w:rsid w:val="00E50F8E"/>
    <w:rsid w:val="00E64F85"/>
    <w:rsid w:val="00E67227"/>
    <w:rsid w:val="00EC3041"/>
    <w:rsid w:val="00EE3477"/>
    <w:rsid w:val="00F00174"/>
    <w:rsid w:val="00F45142"/>
    <w:rsid w:val="00F661DA"/>
    <w:rsid w:val="00FB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20</cp:revision>
  <dcterms:created xsi:type="dcterms:W3CDTF">2021-03-22T11:47:00Z</dcterms:created>
  <dcterms:modified xsi:type="dcterms:W3CDTF">2021-03-23T12:28:00Z</dcterms:modified>
</cp:coreProperties>
</file>