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DC21D9" w:rsidP="00D973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B23F4E" w:rsidRDefault="0047137C" w:rsidP="00D973D2">
      <w:pPr>
        <w:spacing w:after="0" w:line="240" w:lineRule="auto"/>
        <w:rPr>
          <w:b/>
          <w:sz w:val="12"/>
          <w:szCs w:val="12"/>
        </w:rPr>
      </w:pPr>
    </w:p>
    <w:p w:rsidR="0047137C" w:rsidRPr="00B23F4E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tl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B16FDF" w:rsidRPr="00B16FDF">
        <w:rPr>
          <w:rFonts w:cstheme="minorHAnsi"/>
          <w:b/>
          <w:i/>
          <w:sz w:val="24"/>
          <w:szCs w:val="24"/>
        </w:rPr>
        <w:t>Normy i procedury oceny zgodności podczas realizacji zadań zawodowych</w:t>
      </w:r>
    </w:p>
    <w:p w:rsidR="00F661DA" w:rsidRPr="00B23F4E" w:rsidRDefault="00F661DA" w:rsidP="00D973D2">
      <w:pPr>
        <w:spacing w:after="0" w:line="240" w:lineRule="auto"/>
        <w:jc w:val="both"/>
        <w:rPr>
          <w:b/>
          <w:sz w:val="12"/>
          <w:szCs w:val="12"/>
        </w:rPr>
      </w:pPr>
    </w:p>
    <w:p w:rsidR="0047137C" w:rsidRDefault="0047137C" w:rsidP="00D973D2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B23F4E" w:rsidRDefault="00B23F4E" w:rsidP="00D973D2">
      <w:pPr>
        <w:spacing w:after="0" w:line="240" w:lineRule="auto"/>
        <w:rPr>
          <w:b/>
          <w:i/>
          <w:sz w:val="12"/>
          <w:szCs w:val="12"/>
        </w:rPr>
      </w:pPr>
    </w:p>
    <w:p w:rsidR="00754DC6" w:rsidRPr="00B23F4E" w:rsidRDefault="00BD67F8" w:rsidP="00D973D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D61025">
        <w:rPr>
          <w:b/>
          <w:i/>
          <w:sz w:val="24"/>
          <w:szCs w:val="24"/>
        </w:rPr>
        <w:t xml:space="preserve"> Jednocześnie zapowiadam </w:t>
      </w:r>
      <w:r w:rsidR="00D61025" w:rsidRPr="00D972B5">
        <w:rPr>
          <w:b/>
          <w:i/>
          <w:color w:val="FF0000"/>
          <w:sz w:val="24"/>
          <w:szCs w:val="24"/>
        </w:rPr>
        <w:t>sprawdzian z MP</w:t>
      </w:r>
      <w:r w:rsidR="00D61025">
        <w:rPr>
          <w:b/>
          <w:i/>
          <w:sz w:val="24"/>
          <w:szCs w:val="24"/>
        </w:rPr>
        <w:t xml:space="preserve"> </w:t>
      </w:r>
      <w:r w:rsidR="000B36E2">
        <w:rPr>
          <w:b/>
          <w:i/>
          <w:sz w:val="24"/>
          <w:szCs w:val="24"/>
        </w:rPr>
        <w:t xml:space="preserve">                        </w:t>
      </w:r>
      <w:r w:rsidR="00D61025">
        <w:rPr>
          <w:b/>
          <w:i/>
          <w:sz w:val="24"/>
          <w:szCs w:val="24"/>
        </w:rPr>
        <w:t xml:space="preserve">na </w:t>
      </w:r>
      <w:r w:rsidR="00D972B5">
        <w:rPr>
          <w:b/>
          <w:i/>
          <w:color w:val="FF0000"/>
          <w:sz w:val="24"/>
          <w:szCs w:val="24"/>
        </w:rPr>
        <w:t>30.03.2021</w:t>
      </w:r>
      <w:r w:rsidR="00D61025" w:rsidRPr="00D972B5">
        <w:rPr>
          <w:b/>
          <w:i/>
          <w:color w:val="FF0000"/>
          <w:sz w:val="24"/>
          <w:szCs w:val="24"/>
        </w:rPr>
        <w:t xml:space="preserve"> r.</w:t>
      </w:r>
      <w:r w:rsidR="00D61025">
        <w:rPr>
          <w:b/>
          <w:i/>
          <w:sz w:val="24"/>
          <w:szCs w:val="24"/>
        </w:rPr>
        <w:t xml:space="preserve"> Zakres materiału na sprawdzian: od tematu –</w:t>
      </w:r>
      <w:r w:rsidR="00DC21D9" w:rsidRPr="00DC21D9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0B36E2">
        <w:rPr>
          <w:rFonts w:eastAsia="ScalaSansPro-Bold" w:cstheme="minorHAnsi"/>
          <w:b/>
          <w:bCs/>
          <w:i/>
          <w:sz w:val="24"/>
          <w:szCs w:val="24"/>
        </w:rPr>
        <w:t>d</w:t>
      </w:r>
      <w:r w:rsidR="00DC21D9">
        <w:rPr>
          <w:rFonts w:eastAsia="ScalaSansPro-Bold" w:cstheme="minorHAnsi"/>
          <w:b/>
          <w:bCs/>
          <w:i/>
          <w:sz w:val="24"/>
          <w:szCs w:val="24"/>
        </w:rPr>
        <w:t>efinicja, ele</w:t>
      </w:r>
      <w:r w:rsidR="00D972B5">
        <w:rPr>
          <w:rFonts w:eastAsia="ScalaSansPro-Bold" w:cstheme="minorHAnsi"/>
          <w:b/>
          <w:bCs/>
          <w:i/>
          <w:sz w:val="24"/>
          <w:szCs w:val="24"/>
        </w:rPr>
        <w:t xml:space="preserve">menty i cechy jakości produktu, </w:t>
      </w:r>
      <w:r w:rsidR="000B36E2">
        <w:rPr>
          <w:b/>
          <w:i/>
          <w:sz w:val="24"/>
          <w:szCs w:val="24"/>
        </w:rPr>
        <w:t>do tematu – n</w:t>
      </w:r>
      <w:r w:rsidR="00D61025">
        <w:rPr>
          <w:b/>
          <w:i/>
          <w:sz w:val="24"/>
          <w:szCs w:val="24"/>
        </w:rPr>
        <w:t>ormy i procedury oceny zgodności podczas realizacji zadań zawodowych.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271A21" w:rsidRDefault="00754DC6" w:rsidP="00D973D2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D973D2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773859" w:rsidRPr="00D972B5" w:rsidRDefault="0047137C" w:rsidP="00D973D2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773859" w:rsidRDefault="00773859" w:rsidP="00D973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545C5E" w:rsidRDefault="00545C5E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   </w:t>
      </w:r>
      <w:r w:rsidR="00D972B5">
        <w:rPr>
          <w:rFonts w:eastAsia="ScalaSansPro-Bold" w:cstheme="minorHAnsi"/>
          <w:b/>
          <w:bCs/>
          <w:color w:val="00B050"/>
          <w:sz w:val="24"/>
          <w:szCs w:val="24"/>
        </w:rPr>
        <w:t>Oznaczenie/</w:t>
      </w:r>
      <w:r w:rsidRPr="00545C5E">
        <w:rPr>
          <w:rFonts w:eastAsia="ScalaSansPro-Bold" w:cstheme="minorHAnsi"/>
          <w:b/>
          <w:bCs/>
          <w:color w:val="00B050"/>
          <w:sz w:val="24"/>
          <w:szCs w:val="24"/>
        </w:rPr>
        <w:t>oznakowanie CE</w:t>
      </w:r>
      <w:r w:rsidRPr="00545C5E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 xml:space="preserve">(franc. </w:t>
      </w:r>
      <w:proofErr w:type="spellStart"/>
      <w:r w:rsidRPr="00545C5E">
        <w:rPr>
          <w:rFonts w:eastAsia="ScalaPro-Ita" w:cstheme="minorHAnsi"/>
          <w:i/>
          <w:iCs/>
          <w:color w:val="000000"/>
          <w:sz w:val="24"/>
          <w:szCs w:val="24"/>
        </w:rPr>
        <w:t>Conformite</w:t>
      </w:r>
      <w:proofErr w:type="spellEnd"/>
      <w:r w:rsidRPr="00545C5E"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545C5E">
        <w:rPr>
          <w:rFonts w:eastAsia="ScalaPro-Ita" w:cstheme="minorHAnsi"/>
          <w:i/>
          <w:iCs/>
          <w:color w:val="000000"/>
          <w:sz w:val="24"/>
          <w:szCs w:val="24"/>
        </w:rPr>
        <w:t>Europeenne</w:t>
      </w:r>
      <w:proofErr w:type="spellEnd"/>
      <w:r w:rsidRPr="00545C5E">
        <w:rPr>
          <w:rFonts w:eastAsia="ScalaSansPro-Bold" w:cstheme="minorHAnsi"/>
          <w:color w:val="000000"/>
          <w:sz w:val="24"/>
          <w:szCs w:val="24"/>
        </w:rPr>
        <w:t>) umieszczone na wyrobie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jest deklaracją producenta, że wyrób spełnia wymagania dyrektyw tzw. „nowego podejścia”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Unii Europejskiej (UE). Dyrektywy nowego podejścia dotyczą bezpieczeństwa użytkowania,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ochrony zdrowia i ochrony środowiska, określają zagrożenia, które producent</w:t>
      </w:r>
      <w:r>
        <w:rPr>
          <w:rFonts w:eastAsia="ScalaSansPro-Bold" w:cstheme="minorHAnsi"/>
          <w:color w:val="000000"/>
          <w:sz w:val="24"/>
          <w:szCs w:val="24"/>
        </w:rPr>
        <w:t xml:space="preserve"> powinien </w:t>
      </w:r>
      <w:r w:rsidRPr="00545C5E">
        <w:rPr>
          <w:rFonts w:eastAsia="ScalaSansPro-Bold" w:cstheme="minorHAnsi"/>
          <w:color w:val="000000"/>
          <w:sz w:val="24"/>
          <w:szCs w:val="24"/>
        </w:rPr>
        <w:t>wykryć i wyeliminować.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Aby oznakować swój wyrób znakiem CE, producent wykonuje analizy i dąży do spełnienia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 xml:space="preserve">odnośnych wymagań, a następnie poddaje produkt procedurze </w:t>
      </w:r>
      <w:r w:rsidRPr="00545C5E">
        <w:rPr>
          <w:rFonts w:eastAsia="ScalaSansPro-Bold" w:cstheme="minorHAnsi"/>
          <w:b/>
          <w:bCs/>
          <w:color w:val="00B050"/>
          <w:sz w:val="24"/>
          <w:szCs w:val="24"/>
        </w:rPr>
        <w:t>oceny</w:t>
      </w: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545C5E">
        <w:rPr>
          <w:rFonts w:eastAsia="ScalaSansPro-Bold" w:cstheme="minorHAnsi"/>
          <w:b/>
          <w:bCs/>
          <w:color w:val="00B050"/>
          <w:sz w:val="24"/>
          <w:szCs w:val="24"/>
        </w:rPr>
        <w:t>zgodności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z odpowiednimi dyrektywami. Przebieg i wyniki działań są dokumentowane.</w:t>
      </w:r>
      <w:r>
        <w:rPr>
          <w:rFonts w:eastAsia="ScalaSansPro-Bold" w:cstheme="minorHAnsi"/>
          <w:color w:val="000000"/>
          <w:sz w:val="24"/>
          <w:szCs w:val="24"/>
        </w:rPr>
        <w:t xml:space="preserve">   </w:t>
      </w:r>
    </w:p>
    <w:p w:rsidR="0055335F" w:rsidRDefault="00545C5E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545C5E">
        <w:rPr>
          <w:rFonts w:eastAsia="ScalaSansPro-Bold" w:cstheme="minorHAnsi"/>
          <w:color w:val="000000"/>
          <w:sz w:val="24"/>
          <w:szCs w:val="24"/>
        </w:rPr>
        <w:t>Procedura oceny zgodności realizowana przez producenta (lub jego upoważnionego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przedstawiciela) polega na wykonaniu sekwencji określonych przepisami działań (tzw.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modułów) oznaczanych w dokumentacji wielkimi literami.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Wybór sekwencji modułów zależy od producenta, który wybiera ją według własnego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 xml:space="preserve">uznania z możliwości określonych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</w:t>
      </w:r>
      <w:r w:rsidRPr="00545C5E">
        <w:rPr>
          <w:rFonts w:eastAsia="ScalaSansPro-Bold" w:cstheme="minorHAnsi"/>
          <w:color w:val="000000"/>
          <w:sz w:val="24"/>
          <w:szCs w:val="24"/>
        </w:rPr>
        <w:t>w dyrektywie dotyczącej danego wyrobu.</w:t>
      </w:r>
    </w:p>
    <w:p w:rsidR="009A279E" w:rsidRPr="009A279E" w:rsidRDefault="009A279E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9A279E">
        <w:rPr>
          <w:rFonts w:cstheme="minorHAnsi"/>
          <w:color w:val="000000"/>
          <w:sz w:val="24"/>
          <w:szCs w:val="24"/>
        </w:rPr>
        <w:t>W wielu przypadkach (w zależności od wyrobu) procedura oceny zgodności wymaga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 xml:space="preserve">udziału tzw. </w:t>
      </w:r>
      <w:r w:rsidRPr="009A279E">
        <w:rPr>
          <w:rFonts w:eastAsia="ScalaSansPro-Bold" w:cstheme="minorHAnsi"/>
          <w:b/>
          <w:bCs/>
          <w:color w:val="00B050"/>
          <w:sz w:val="24"/>
          <w:szCs w:val="24"/>
        </w:rPr>
        <w:t>jednostki notyfikowanej</w:t>
      </w:r>
      <w:r w:rsidRPr="009A279E">
        <w:rPr>
          <w:rFonts w:cstheme="minorHAnsi"/>
          <w:color w:val="000000"/>
          <w:sz w:val="24"/>
          <w:szCs w:val="24"/>
        </w:rPr>
        <w:t>. Jest to organizacja wyznaczona przez władze krajowe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do wykonywania zadań wynikających z dyrektyw (Decyzja Parlamentu Europejskiego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i Rady 768/2008/WE). Jeżeli produkt wymaga tylko oceny zgodnie z modułem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A (wewnę</w:t>
      </w:r>
      <w:r>
        <w:rPr>
          <w:rFonts w:cstheme="minorHAnsi"/>
          <w:color w:val="000000"/>
          <w:sz w:val="24"/>
          <w:szCs w:val="24"/>
        </w:rPr>
        <w:t xml:space="preserve">trzna </w:t>
      </w:r>
      <w:r w:rsidRPr="009A279E">
        <w:rPr>
          <w:rFonts w:cstheme="minorHAnsi"/>
          <w:color w:val="000000"/>
          <w:sz w:val="24"/>
          <w:szCs w:val="24"/>
        </w:rPr>
        <w:t>kontrola produkcji) – producent sam dokonuje oceny (bez udziału strony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 xml:space="preserve">trzeciej).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9A279E">
        <w:rPr>
          <w:rFonts w:cstheme="minorHAnsi"/>
          <w:color w:val="000000"/>
          <w:sz w:val="24"/>
          <w:szCs w:val="24"/>
        </w:rPr>
        <w:t>W pozostałych przypadkach (moduły B–H2) producent zgłasza się do wybranej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przez siebie jednostki notyfikowanej, aby dokonała oceny zgodności jego produktu. Producent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ma swobodę wyboru jednostki z całego obszaru UE.</w:t>
      </w:r>
    </w:p>
    <w:p w:rsidR="009A279E" w:rsidRPr="009A279E" w:rsidRDefault="009A279E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9A279E">
        <w:rPr>
          <w:rFonts w:cstheme="minorHAnsi"/>
          <w:color w:val="000000"/>
          <w:sz w:val="24"/>
          <w:szCs w:val="24"/>
        </w:rPr>
        <w:t xml:space="preserve">Istotnym pojęciem związanym z oceną zgodności jest </w:t>
      </w:r>
      <w:r w:rsidRPr="009A279E">
        <w:rPr>
          <w:rFonts w:eastAsia="ScalaSansPro-Bold" w:cstheme="minorHAnsi"/>
          <w:b/>
          <w:bCs/>
          <w:color w:val="00B050"/>
          <w:sz w:val="24"/>
          <w:szCs w:val="24"/>
        </w:rPr>
        <w:t>domniemanie zgodności</w:t>
      </w:r>
      <w:r w:rsidRPr="009A279E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polegające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na uznaniu, że wyroby, które spełniają wymagania zawarte w normach krajowych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implementujących normy zharmonizowane, których numery opublikowano w Dzienniku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Urzędowym Wspólnot Europejskich, są zgodne z wymaganiami zasadniczymi. Jeśli producent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nie zastosował takiej normy lub zastosował ją częściowo, musi udokumentować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działania podjęte w celu spełnienia wymagań zasadniczych oraz ich zasadność.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 xml:space="preserve">Działania oceniające zamyka wystawienie przez producenta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deklaracji zgodności EC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(WE)</w:t>
      </w:r>
      <w:r w:rsidRPr="009A279E">
        <w:rPr>
          <w:rFonts w:cstheme="minorHAnsi"/>
          <w:color w:val="000000"/>
          <w:sz w:val="24"/>
          <w:szCs w:val="24"/>
        </w:rPr>
        <w:t xml:space="preserve">, a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 xml:space="preserve">od 2010 r. </w:t>
      </w:r>
      <w:r w:rsidR="00D72251"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                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(po</w:t>
      </w:r>
      <w:r w:rsidRPr="009A279E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wejściu Traktatu z Lizbony) EU (UE)</w:t>
      </w:r>
      <w:r w:rsidRPr="00D72251">
        <w:rPr>
          <w:rFonts w:cstheme="minorHAnsi"/>
          <w:sz w:val="24"/>
          <w:szCs w:val="24"/>
        </w:rPr>
        <w:t>.</w:t>
      </w:r>
      <w:r w:rsidRPr="009A279E">
        <w:rPr>
          <w:rFonts w:cstheme="minorHAnsi"/>
          <w:color w:val="000000"/>
          <w:sz w:val="24"/>
          <w:szCs w:val="24"/>
        </w:rPr>
        <w:t xml:space="preserve"> Dla przypadków określonych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w pozostałych dyrektywach, deklaracja ta jest dołączona do produktu, albo udostępniana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na żądanie organów nadzoru rynku.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Wszystkie te działania zostały ustanowione w celu eliminowania barier w przepływie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towarów na rynku Unii. Kraje członkowskie nie mogą zakazać wprowadzenia na swój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rynek wyrobu z oznakowaniem CE.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Jeśli dany wyrób podlega przepisom chociaż jednej dyrektywy nowego podejścia, to bez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oznakowania CE nie może być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wprowadzany do obrotu ani użytkowania na terenie Unii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Europejskiej.</w:t>
      </w:r>
    </w:p>
    <w:p w:rsidR="009A279E" w:rsidRDefault="00D72251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="009A279E" w:rsidRPr="009A279E">
        <w:rPr>
          <w:rFonts w:cstheme="minorHAnsi"/>
          <w:color w:val="000000"/>
          <w:sz w:val="24"/>
          <w:szCs w:val="24"/>
        </w:rPr>
        <w:t>Organy nadzoru rynku mają za zadanie egzekwowanie prawa europejskiego chroniącego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A279E" w:rsidRPr="009A279E">
        <w:rPr>
          <w:rFonts w:cstheme="minorHAnsi"/>
          <w:color w:val="000000"/>
          <w:sz w:val="24"/>
          <w:szCs w:val="24"/>
        </w:rPr>
        <w:t>interesy konsumentów i pracowników oraz zapobieganie nieuczciwej konkurencji.</w:t>
      </w:r>
      <w:r>
        <w:rPr>
          <w:rFonts w:cstheme="minorHAnsi"/>
          <w:color w:val="000000"/>
          <w:sz w:val="24"/>
          <w:szCs w:val="24"/>
        </w:rPr>
        <w:t xml:space="preserve"> W Polsce </w:t>
      </w:r>
      <w:r w:rsidR="009A279E" w:rsidRPr="009A279E">
        <w:rPr>
          <w:rFonts w:cstheme="minorHAnsi"/>
          <w:color w:val="000000"/>
          <w:sz w:val="24"/>
          <w:szCs w:val="24"/>
        </w:rPr>
        <w:t>zadania organu nadzoru rynku spełnia Prezes Urzędu Ochrony Konkurencji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A279E" w:rsidRPr="009A279E">
        <w:rPr>
          <w:rFonts w:cstheme="minorHAnsi"/>
          <w:color w:val="000000"/>
          <w:sz w:val="24"/>
          <w:szCs w:val="24"/>
        </w:rPr>
        <w:t>i Konsumenta.</w:t>
      </w:r>
    </w:p>
    <w:p w:rsidR="00D72251" w:rsidRPr="00D72251" w:rsidRDefault="00D72251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72251">
        <w:rPr>
          <w:rFonts w:cstheme="minorHAnsi"/>
          <w:color w:val="000000"/>
          <w:sz w:val="24"/>
          <w:szCs w:val="24"/>
        </w:rPr>
        <w:t xml:space="preserve">Nie można mylić obowiązkowego w Polsce do dnia 30 kwietnia 2004 </w:t>
      </w:r>
      <w:proofErr w:type="spellStart"/>
      <w:r w:rsidRPr="00D72251">
        <w:rPr>
          <w:rFonts w:cstheme="minorHAnsi"/>
          <w:color w:val="000000"/>
          <w:sz w:val="24"/>
          <w:szCs w:val="24"/>
        </w:rPr>
        <w:t>r</w:t>
      </w:r>
      <w:proofErr w:type="spellEnd"/>
      <w:r w:rsidRPr="00D72251">
        <w:rPr>
          <w:rFonts w:cstheme="minorHAnsi"/>
          <w:color w:val="000000"/>
          <w:sz w:val="24"/>
          <w:szCs w:val="24"/>
        </w:rPr>
        <w:t xml:space="preserve"> (przed wejściem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Polski do UE) znaku bezpieczeństwa „B” z oznakowaniem CE. Dziś znak „B” ma charakter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wyłącznie dobrowolny (z wyjątkiem dyrektywy poświęconej materiałom budowlanym).</w:t>
      </w:r>
    </w:p>
    <w:p w:rsidR="00D72251" w:rsidRPr="00D72251" w:rsidRDefault="00D72251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  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Ocena jakościowa</w:t>
      </w:r>
      <w:r w:rsidRPr="00D72251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jest przeciwieństwem oceny iloś</w:t>
      </w:r>
      <w:r>
        <w:rPr>
          <w:rFonts w:cstheme="minorHAnsi"/>
          <w:color w:val="000000"/>
          <w:sz w:val="24"/>
          <w:szCs w:val="24"/>
        </w:rPr>
        <w:t xml:space="preserve">ciowej i polega na oszacowaniu </w:t>
      </w:r>
      <w:r w:rsidRPr="00D72251">
        <w:rPr>
          <w:rFonts w:cstheme="minorHAnsi"/>
          <w:color w:val="000000"/>
          <w:sz w:val="24"/>
          <w:szCs w:val="24"/>
        </w:rPr>
        <w:t>właściwości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dowolnego zdarzenia, procesu lub systemu w skalach relatywnych (np. duży,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mały – zawsze, często, czasem, rzadko, nigdy – bardzo dobrze, dobrze, wystarczająco,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niewystarczająco). Jest powszechnie używana w życiu codziennym, naukach społecznych</w:t>
      </w:r>
      <w:r>
        <w:rPr>
          <w:rFonts w:cstheme="minorHAnsi"/>
          <w:color w:val="000000"/>
          <w:sz w:val="24"/>
          <w:szCs w:val="24"/>
        </w:rPr>
        <w:t xml:space="preserve">                 </w:t>
      </w:r>
      <w:r w:rsidRPr="00D72251">
        <w:rPr>
          <w:rFonts w:cstheme="minorHAnsi"/>
          <w:color w:val="000000"/>
          <w:sz w:val="24"/>
          <w:szCs w:val="24"/>
        </w:rPr>
        <w:t>i innych dziedzinach przez ekspertów, kiedy ich oceny opierają się na trudnym do liczbowego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oszacowania doświadczeniu, np. na opiniach uznanych autorytetów. Jakościowa ilustracja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przebiegu procesów jest też wstępną hipotezą do przeprowadzenia eksperymentu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D72251">
        <w:rPr>
          <w:rFonts w:cstheme="minorHAnsi"/>
          <w:color w:val="000000"/>
          <w:sz w:val="24"/>
          <w:szCs w:val="24"/>
        </w:rPr>
        <w:t>lub konstrukcji kwestionariusza w badaniach społecznych.</w:t>
      </w:r>
    </w:p>
    <w:p w:rsidR="00D72251" w:rsidRDefault="00D72251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72251">
        <w:rPr>
          <w:rFonts w:cstheme="minorHAnsi"/>
          <w:color w:val="000000"/>
          <w:sz w:val="24"/>
          <w:szCs w:val="24"/>
        </w:rPr>
        <w:t>We współczesnym społeczeństwie przemysłowym nowe definicje kładą większy nacisk</w:t>
      </w:r>
      <w:r>
        <w:rPr>
          <w:rFonts w:cstheme="minorHAnsi"/>
          <w:color w:val="000000"/>
          <w:sz w:val="24"/>
          <w:szCs w:val="24"/>
        </w:rPr>
        <w:t xml:space="preserve">   </w:t>
      </w:r>
      <w:r w:rsidRPr="00D72251">
        <w:rPr>
          <w:rFonts w:cstheme="minorHAnsi"/>
          <w:color w:val="000000"/>
          <w:sz w:val="24"/>
          <w:szCs w:val="24"/>
        </w:rPr>
        <w:t xml:space="preserve">na jakość produktów określaną przez ich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wartość użytkową</w:t>
      </w:r>
      <w:r w:rsidRPr="00D72251">
        <w:rPr>
          <w:rFonts w:cstheme="minorHAnsi"/>
          <w:color w:val="000000"/>
          <w:sz w:val="24"/>
          <w:szCs w:val="24"/>
        </w:rPr>
        <w:t xml:space="preserve">, a więc na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społeczne aspekty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użyteczności</w:t>
      </w:r>
      <w:r w:rsidRPr="00D72251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technologii i usług.</w:t>
      </w:r>
    </w:p>
    <w:p w:rsidR="00D61025" w:rsidRPr="00D61025" w:rsidRDefault="00D61025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61025" w:rsidRPr="00D61025" w:rsidRDefault="00D61025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61025">
        <w:rPr>
          <w:rFonts w:cstheme="minorHAnsi"/>
          <w:b/>
          <w:color w:val="000000"/>
          <w:sz w:val="24"/>
          <w:szCs w:val="24"/>
          <w:u w:val="single"/>
        </w:rPr>
        <w:t>Przykład</w:t>
      </w:r>
    </w:p>
    <w:p w:rsidR="00D61025" w:rsidRDefault="00D61025" w:rsidP="00D973D2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ascii="ScalaPro" w:hAnsi="ScalaPro" w:cs="ScalaPro"/>
          <w:color w:val="000000"/>
          <w:sz w:val="24"/>
          <w:szCs w:val="24"/>
        </w:rPr>
        <w:t>Ocena jakości artykułów pisanych do Wydawnictwa XYZ wygląda następująco:</w:t>
      </w:r>
    </w:p>
    <w:p w:rsidR="00D61025" w:rsidRPr="00D61025" w:rsidRDefault="00D61025" w:rsidP="00D973D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eastAsia="ScalaSansPro-Bold" w:cstheme="minorHAnsi"/>
          <w:b/>
          <w:bCs/>
          <w:color w:val="00B050"/>
          <w:sz w:val="24"/>
          <w:szCs w:val="24"/>
        </w:rPr>
        <w:t>perfekcyjny</w:t>
      </w:r>
      <w:r w:rsidRPr="00D61025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– zgodny z przyjętymi kryteriami, dane kompletne;</w:t>
      </w:r>
    </w:p>
    <w:p w:rsidR="00D61025" w:rsidRPr="00D61025" w:rsidRDefault="00D61025" w:rsidP="00D973D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eastAsia="ScalaSansPro-Bold" w:cstheme="minorHAnsi"/>
          <w:b/>
          <w:bCs/>
          <w:color w:val="00B050"/>
          <w:sz w:val="24"/>
          <w:szCs w:val="24"/>
        </w:rPr>
        <w:t>bardzo dobry</w:t>
      </w:r>
      <w:r w:rsidRPr="00D61025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– kompletny, zgodny z przyjętymi kryteriami, ale brak weryfikacji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danych ze źródłami;</w:t>
      </w:r>
    </w:p>
    <w:p w:rsidR="00D61025" w:rsidRPr="00D61025" w:rsidRDefault="00D61025" w:rsidP="00D973D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eastAsia="ScalaSansPro-Bold" w:cstheme="minorHAnsi"/>
          <w:b/>
          <w:bCs/>
          <w:color w:val="00B050"/>
          <w:sz w:val="24"/>
          <w:szCs w:val="24"/>
        </w:rPr>
        <w:t>dobry</w:t>
      </w:r>
      <w:r w:rsidRPr="00D61025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– dobry merytorycznie, nie-zalążek, al</w:t>
      </w:r>
      <w:r>
        <w:rPr>
          <w:rFonts w:cstheme="minorHAnsi"/>
          <w:color w:val="000000"/>
          <w:sz w:val="24"/>
          <w:szCs w:val="24"/>
        </w:rPr>
        <w:t xml:space="preserve">e za krótki oraz z wadami w 1–2 </w:t>
      </w:r>
      <w:r w:rsidRPr="00D61025">
        <w:rPr>
          <w:rFonts w:cstheme="minorHAnsi"/>
          <w:color w:val="000000"/>
          <w:sz w:val="24"/>
          <w:szCs w:val="24"/>
        </w:rPr>
        <w:t>przyjętych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kryteriów;</w:t>
      </w:r>
    </w:p>
    <w:p w:rsidR="00D61025" w:rsidRPr="00D61025" w:rsidRDefault="00D61025" w:rsidP="00D973D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eastAsia="ScalaSansPro-Bold" w:cstheme="minorHAnsi"/>
          <w:b/>
          <w:bCs/>
          <w:color w:val="00B050"/>
          <w:sz w:val="24"/>
          <w:szCs w:val="24"/>
        </w:rPr>
        <w:t>zalążek</w:t>
      </w:r>
      <w:r w:rsidRPr="00D61025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– jest artykuł, ale wymaga dopracowania wg każdego lub większości przyjętych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kryteriów.</w:t>
      </w:r>
    </w:p>
    <w:sectPr w:rsidR="00D61025" w:rsidRPr="00D61025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3"/>
  </w:num>
  <w:num w:numId="5">
    <w:abstractNumId w:val="30"/>
  </w:num>
  <w:num w:numId="6">
    <w:abstractNumId w:val="14"/>
  </w:num>
  <w:num w:numId="7">
    <w:abstractNumId w:val="1"/>
  </w:num>
  <w:num w:numId="8">
    <w:abstractNumId w:val="29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2"/>
  </w:num>
  <w:num w:numId="14">
    <w:abstractNumId w:val="20"/>
  </w:num>
  <w:num w:numId="15">
    <w:abstractNumId w:val="25"/>
  </w:num>
  <w:num w:numId="16">
    <w:abstractNumId w:val="26"/>
  </w:num>
  <w:num w:numId="17">
    <w:abstractNumId w:val="7"/>
  </w:num>
  <w:num w:numId="18">
    <w:abstractNumId w:val="15"/>
  </w:num>
  <w:num w:numId="19">
    <w:abstractNumId w:val="35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1"/>
  </w:num>
  <w:num w:numId="25">
    <w:abstractNumId w:val="5"/>
  </w:num>
  <w:num w:numId="26">
    <w:abstractNumId w:val="13"/>
  </w:num>
  <w:num w:numId="27">
    <w:abstractNumId w:val="12"/>
  </w:num>
  <w:num w:numId="28">
    <w:abstractNumId w:val="32"/>
  </w:num>
  <w:num w:numId="29">
    <w:abstractNumId w:val="24"/>
  </w:num>
  <w:num w:numId="30">
    <w:abstractNumId w:val="31"/>
  </w:num>
  <w:num w:numId="31">
    <w:abstractNumId w:val="16"/>
  </w:num>
  <w:num w:numId="32">
    <w:abstractNumId w:val="28"/>
  </w:num>
  <w:num w:numId="33">
    <w:abstractNumId w:val="34"/>
  </w:num>
  <w:num w:numId="34">
    <w:abstractNumId w:val="27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B268D"/>
    <w:rsid w:val="000B36E2"/>
    <w:rsid w:val="00173173"/>
    <w:rsid w:val="00182B28"/>
    <w:rsid w:val="001A26C0"/>
    <w:rsid w:val="001B2B98"/>
    <w:rsid w:val="001D389C"/>
    <w:rsid w:val="001E4C2F"/>
    <w:rsid w:val="001E5DD3"/>
    <w:rsid w:val="00215AC0"/>
    <w:rsid w:val="00222062"/>
    <w:rsid w:val="002226D3"/>
    <w:rsid w:val="00240294"/>
    <w:rsid w:val="00255958"/>
    <w:rsid w:val="00271A21"/>
    <w:rsid w:val="002A5243"/>
    <w:rsid w:val="002D2B5C"/>
    <w:rsid w:val="002F5C96"/>
    <w:rsid w:val="002F60C9"/>
    <w:rsid w:val="003D0119"/>
    <w:rsid w:val="003D6D50"/>
    <w:rsid w:val="0047137C"/>
    <w:rsid w:val="004B6E7C"/>
    <w:rsid w:val="005012C7"/>
    <w:rsid w:val="00531E4B"/>
    <w:rsid w:val="0053306A"/>
    <w:rsid w:val="00545C5E"/>
    <w:rsid w:val="0055335F"/>
    <w:rsid w:val="0056270C"/>
    <w:rsid w:val="005974D7"/>
    <w:rsid w:val="005A0C58"/>
    <w:rsid w:val="005F0CF4"/>
    <w:rsid w:val="00623FEB"/>
    <w:rsid w:val="00625EC7"/>
    <w:rsid w:val="0067015B"/>
    <w:rsid w:val="006D2DFE"/>
    <w:rsid w:val="006D589A"/>
    <w:rsid w:val="00716998"/>
    <w:rsid w:val="0074644C"/>
    <w:rsid w:val="00754DC6"/>
    <w:rsid w:val="00771B06"/>
    <w:rsid w:val="00773859"/>
    <w:rsid w:val="007A1EC4"/>
    <w:rsid w:val="007D40D4"/>
    <w:rsid w:val="00863040"/>
    <w:rsid w:val="008C221A"/>
    <w:rsid w:val="009A279E"/>
    <w:rsid w:val="00A3011E"/>
    <w:rsid w:val="00AF085E"/>
    <w:rsid w:val="00B16FDF"/>
    <w:rsid w:val="00B23F4E"/>
    <w:rsid w:val="00BA1F58"/>
    <w:rsid w:val="00BD67F8"/>
    <w:rsid w:val="00C42BC7"/>
    <w:rsid w:val="00C441FD"/>
    <w:rsid w:val="00C63F5A"/>
    <w:rsid w:val="00C87754"/>
    <w:rsid w:val="00CA54BD"/>
    <w:rsid w:val="00CE78BF"/>
    <w:rsid w:val="00D61025"/>
    <w:rsid w:val="00D67AC1"/>
    <w:rsid w:val="00D72251"/>
    <w:rsid w:val="00D77E92"/>
    <w:rsid w:val="00D85CB2"/>
    <w:rsid w:val="00D972B5"/>
    <w:rsid w:val="00D973D2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17</cp:revision>
  <dcterms:created xsi:type="dcterms:W3CDTF">2021-03-22T11:47:00Z</dcterms:created>
  <dcterms:modified xsi:type="dcterms:W3CDTF">2021-03-22T12:11:00Z</dcterms:modified>
</cp:coreProperties>
</file>