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3A607E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30.04.2021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4771B0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>Wskaźniki zagospodarowania przestrzeni magazynowej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1F7464" w:rsidRDefault="000B25D7" w:rsidP="001F7464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1F7464" w:rsidRPr="001F7464" w:rsidRDefault="00080363" w:rsidP="001F746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1F7464" w:rsidRPr="001F7464">
        <w:rPr>
          <w:rFonts w:cstheme="minorHAnsi"/>
          <w:color w:val="000000"/>
          <w:sz w:val="24"/>
          <w:szCs w:val="24"/>
        </w:rPr>
        <w:t>Ocenę zagospodarowania przestrzeni magazynowej przeprowadza się różnymi metodami.</w:t>
      </w:r>
      <w:r w:rsidR="001F7464" w:rsidRPr="001F7464">
        <w:rPr>
          <w:rFonts w:cstheme="minorHAnsi"/>
          <w:b/>
          <w:i/>
          <w:sz w:val="24"/>
          <w:szCs w:val="24"/>
        </w:rPr>
        <w:t xml:space="preserve"> </w:t>
      </w:r>
      <w:r w:rsidR="001F7464" w:rsidRPr="001F7464">
        <w:rPr>
          <w:rFonts w:cstheme="minorHAnsi"/>
          <w:color w:val="000000"/>
          <w:sz w:val="24"/>
          <w:szCs w:val="24"/>
        </w:rPr>
        <w:t xml:space="preserve">Najpopularniejszą z nich jest </w:t>
      </w:r>
      <w:r w:rsidR="001F7464" w:rsidRPr="001F7464">
        <w:rPr>
          <w:rFonts w:eastAsia="ScalaSansPro-Bold" w:cstheme="minorHAnsi"/>
          <w:b/>
          <w:bCs/>
          <w:color w:val="00B050"/>
          <w:sz w:val="24"/>
          <w:szCs w:val="24"/>
        </w:rPr>
        <w:t>analiza wskaźnikowa</w:t>
      </w:r>
      <w:r w:rsidR="001F7464" w:rsidRPr="001F7464">
        <w:rPr>
          <w:rFonts w:cstheme="minorHAnsi"/>
          <w:color w:val="000000"/>
          <w:sz w:val="24"/>
          <w:szCs w:val="24"/>
        </w:rPr>
        <w:t>. Wymaga ona znajomości określonych</w:t>
      </w:r>
      <w:r w:rsidR="001F7464" w:rsidRPr="001F7464">
        <w:rPr>
          <w:rFonts w:cstheme="minorHAnsi"/>
          <w:b/>
          <w:i/>
          <w:sz w:val="24"/>
          <w:szCs w:val="24"/>
        </w:rPr>
        <w:t xml:space="preserve"> </w:t>
      </w:r>
      <w:r w:rsidR="001F7464" w:rsidRPr="001F7464">
        <w:rPr>
          <w:rFonts w:cstheme="minorHAnsi"/>
          <w:color w:val="000000"/>
          <w:sz w:val="24"/>
          <w:szCs w:val="24"/>
        </w:rPr>
        <w:t>wskaźników, na podstawie których interpretuje się wyniki oraz stawia tezy.</w:t>
      </w:r>
      <w:r w:rsidR="001454F1" w:rsidRPr="001F7464">
        <w:rPr>
          <w:rFonts w:cstheme="minorHAnsi"/>
          <w:color w:val="000000"/>
          <w:sz w:val="24"/>
          <w:szCs w:val="24"/>
        </w:rPr>
        <w:t xml:space="preserve"> </w:t>
      </w:r>
    </w:p>
    <w:p w:rsidR="001F7464" w:rsidRPr="001F7464" w:rsidRDefault="00080363" w:rsidP="001F746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1F7464" w:rsidRPr="001F7464">
        <w:rPr>
          <w:rFonts w:cstheme="minorHAnsi"/>
          <w:color w:val="000000"/>
          <w:sz w:val="24"/>
          <w:szCs w:val="24"/>
        </w:rPr>
        <w:t>Do oceny zagospodarowania przestrzeni magazynowej najczęściej stosuje się: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wskaźniki wydajności,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operacyjne logistyczne wskaźniki pracy magazynu,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wskaźniki kosztowe działalności magazynów,</w:t>
      </w:r>
    </w:p>
    <w:p w:rsidR="001F7464" w:rsidRPr="001F7464" w:rsidRDefault="001F7464" w:rsidP="001F746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F7464">
        <w:rPr>
          <w:rFonts w:cstheme="minorHAnsi"/>
          <w:color w:val="000000"/>
          <w:sz w:val="24"/>
          <w:szCs w:val="24"/>
        </w:rPr>
        <w:t>wskaźniki ekonomiczne pracy magazynu.</w:t>
      </w:r>
    </w:p>
    <w:p w:rsidR="00DA3181" w:rsidRPr="00DA3181" w:rsidRDefault="00DA318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3181" w:rsidRPr="00DA318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3774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A607E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1B0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5531E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E044A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C4685"/>
    <w:rsid w:val="00AD7151"/>
    <w:rsid w:val="00B179DC"/>
    <w:rsid w:val="00B47927"/>
    <w:rsid w:val="00B76455"/>
    <w:rsid w:val="00B85C7C"/>
    <w:rsid w:val="00BA04A3"/>
    <w:rsid w:val="00BC4070"/>
    <w:rsid w:val="00C07B9F"/>
    <w:rsid w:val="00C17AA9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151</cp:revision>
  <dcterms:created xsi:type="dcterms:W3CDTF">2020-10-25T17:51:00Z</dcterms:created>
  <dcterms:modified xsi:type="dcterms:W3CDTF">2021-04-29T09:12:00Z</dcterms:modified>
</cp:coreProperties>
</file>